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ascii="宋体" w:hAnsi="宋体" w:eastAsia="宋体" w:cs="宋体"/>
                <w:b/>
                <w:bCs/>
                <w:kern w:val="0"/>
                <w:sz w:val="40"/>
                <w:szCs w:val="40"/>
              </w:rPr>
            </w:pPr>
          </w:p>
          <w:p>
            <w:pPr>
              <w:widowControl/>
              <w:jc w:val="center"/>
              <w:rPr>
                <w:rFonts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2023 — 2024学年第二学期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数学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rPr>
                <w:rFonts w:ascii="宋体" w:hAnsi="宋体" w:eastAsia="宋体" w:cs="宋体"/>
                <w:b/>
                <w:bCs/>
                <w:kern w:val="0"/>
                <w:sz w:val="40"/>
                <w:szCs w:val="40"/>
                <w:u w:val="single"/>
              </w:rPr>
            </w:pPr>
            <w:r>
              <w:rPr>
                <w:rFonts w:hint="eastAsia" w:ascii="宋体" w:hAnsi="宋体" w:eastAsia="宋体" w:cs="宋体"/>
                <w:b/>
                <w:bCs/>
                <w:kern w:val="0"/>
                <w:sz w:val="40"/>
                <w:szCs w:val="40"/>
              </w:rPr>
              <w:t>教 学 部</w:t>
            </w:r>
            <w:r>
              <w:rPr>
                <w:rFonts w:hint="eastAsia" w:ascii="宋体" w:hAnsi="宋体" w:eastAsia="宋体" w:cs="宋体"/>
                <w:b/>
                <w:bCs/>
                <w:kern w:val="0"/>
                <w:sz w:val="40"/>
                <w:szCs w:val="40"/>
                <w:u w:val="single"/>
              </w:rPr>
              <w:t xml:space="preserve">   信息工程部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rPr>
                <w:rFonts w:ascii="宋体" w:hAnsi="宋体" w:eastAsia="宋体" w:cs="宋体"/>
                <w:b/>
                <w:bCs/>
                <w:kern w:val="0"/>
                <w:sz w:val="40"/>
                <w:szCs w:val="40"/>
                <w:u w:val="single"/>
              </w:rPr>
            </w:pPr>
            <w:r>
              <w:rPr>
                <w:rFonts w:hint="eastAsia" w:ascii="宋体" w:hAnsi="宋体" w:eastAsia="宋体" w:cs="宋体"/>
                <w:b/>
                <w:bCs/>
                <w:kern w:val="0"/>
                <w:sz w:val="40"/>
                <w:szCs w:val="40"/>
              </w:rPr>
              <w:t>专    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计算机、机械、电子</w:t>
            </w:r>
            <w:r>
              <w:rPr>
                <w:rFonts w:hint="eastAsia" w:ascii="宋体" w:hAnsi="宋体" w:eastAsia="宋体" w:cs="宋体"/>
                <w:b/>
                <w:bCs/>
                <w:kern w:val="0"/>
                <w:sz w:val="40"/>
                <w:szCs w:val="40"/>
                <w:u w:val="single"/>
              </w:rPr>
              <w:t xml:space="preserve">         </w:t>
            </w:r>
          </w:p>
          <w:p>
            <w:pPr>
              <w:widowControl/>
              <w:ind w:firstLine="4016" w:firstLineChars="1000"/>
              <w:rPr>
                <w:rFonts w:ascii="宋体" w:hAnsi="宋体" w:eastAsia="宋体" w:cs="宋体"/>
                <w:b/>
                <w:bCs/>
                <w:kern w:val="0"/>
                <w:sz w:val="40"/>
                <w:szCs w:val="40"/>
              </w:rPr>
            </w:pPr>
            <w:r>
              <w:rPr>
                <w:rFonts w:hint="eastAsia" w:ascii="宋体" w:hAnsi="宋体" w:eastAsia="宋体" w:cs="宋体"/>
                <w:b/>
                <w:bCs/>
                <w:kern w:val="0"/>
                <w:sz w:val="40"/>
                <w:szCs w:val="40"/>
              </w:rPr>
              <w:t>班    级</w:t>
            </w:r>
            <w:r>
              <w:rPr>
                <w:rFonts w:hint="eastAsia" w:ascii="宋体" w:hAnsi="宋体" w:eastAsia="宋体" w:cs="宋体"/>
                <w:b/>
                <w:bCs/>
                <w:kern w:val="0"/>
                <w:sz w:val="40"/>
                <w:szCs w:val="40"/>
                <w:u w:val="single"/>
              </w:rPr>
              <w:t xml:space="preserve">    </w:t>
            </w:r>
            <w:r>
              <w:rPr>
                <w:rFonts w:ascii="宋体" w:hAnsi="宋体" w:eastAsia="宋体" w:cs="宋体"/>
                <w:b/>
                <w:bCs/>
                <w:kern w:val="0"/>
                <w:sz w:val="40"/>
                <w:szCs w:val="40"/>
                <w:u w:val="single"/>
              </w:rPr>
              <w:t>202</w:t>
            </w:r>
            <w:r>
              <w:rPr>
                <w:rFonts w:hint="eastAsia" w:ascii="宋体" w:hAnsi="宋体" w:eastAsia="宋体" w:cs="宋体"/>
                <w:b/>
                <w:bCs/>
                <w:kern w:val="0"/>
                <w:sz w:val="40"/>
                <w:szCs w:val="40"/>
                <w:u w:val="single"/>
              </w:rPr>
              <w:t>3级</w:t>
            </w:r>
            <w:r>
              <w:rPr>
                <w:rFonts w:hint="eastAsia" w:ascii="宋体" w:hAnsi="宋体" w:eastAsia="宋体" w:cs="宋体"/>
                <w:b/>
                <w:bCs/>
                <w:kern w:val="0"/>
                <w:sz w:val="40"/>
                <w:szCs w:val="40"/>
                <w:u w:val="single"/>
                <w:lang w:val="en-US" w:eastAsia="zh-CN"/>
              </w:rPr>
              <w:t>天师班</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王岩霞</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4</w:t>
            </w:r>
            <w:bookmarkStart w:id="0" w:name="_GoBack"/>
            <w:bookmarkEnd w:id="0"/>
            <w:r>
              <w:rPr>
                <w:rFonts w:hint="eastAsia" w:ascii="宋体" w:hAnsi="宋体" w:eastAsia="宋体" w:cs="宋体"/>
                <w:b/>
                <w:bCs/>
                <w:kern w:val="0"/>
                <w:sz w:val="40"/>
                <w:szCs w:val="40"/>
              </w:rPr>
              <w:t>年 2 月 25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rPr>
                <w:rFonts w:ascii="宋体" w:hAnsi="宋体" w:eastAsia="宋体" w:cs="宋体"/>
                <w:b/>
                <w:bCs/>
                <w:kern w:val="0"/>
                <w:sz w:val="40"/>
                <w:szCs w:val="40"/>
              </w:rPr>
            </w:pPr>
          </w:p>
          <w:p>
            <w:pPr>
              <w:widowControl/>
              <w:rPr>
                <w:rFonts w:ascii="宋体" w:hAnsi="宋体" w:eastAsia="宋体" w:cs="宋体"/>
                <w:b/>
                <w:bCs/>
                <w:kern w:val="0"/>
                <w:sz w:val="40"/>
                <w:szCs w:val="40"/>
              </w:rPr>
            </w:pPr>
          </w:p>
          <w:p>
            <w:pPr>
              <w:widowControl/>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ind w:firstLine="482" w:firstLineChars="200"/>
              <w:jc w:val="left"/>
              <w:rPr>
                <w:rFonts w:ascii="宋体" w:hAnsi="宋体" w:eastAsia="宋体" w:cs="宋体"/>
                <w:b/>
                <w:bCs/>
                <w:kern w:val="0"/>
                <w:sz w:val="24"/>
                <w:szCs w:val="24"/>
              </w:rPr>
            </w:pPr>
            <w:r>
              <w:rPr>
                <w:rFonts w:hint="eastAsia" w:ascii="宋体" w:hAnsi="宋体" w:eastAsia="宋体" w:cs="宋体"/>
                <w:b/>
                <w:bCs/>
                <w:kern w:val="0"/>
                <w:sz w:val="24"/>
                <w:szCs w:val="24"/>
              </w:rPr>
              <w:t>目的要求</w:t>
            </w:r>
            <w:r>
              <w:rPr>
                <w:rFonts w:ascii="宋体" w:hAnsi="宋体" w:eastAsia="宋体" w:cs="宋体"/>
                <w:b/>
                <w:bCs/>
                <w:kern w:val="0"/>
                <w:sz w:val="24"/>
                <w:szCs w:val="24"/>
              </w:rPr>
              <w:t>:</w:t>
            </w:r>
          </w:p>
          <w:p>
            <w:pPr>
              <w:widowControl/>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数学是以数与形为主要研究对象的一门科学，对科学技术的进步发挥着基础理论和基础应用的作用。它作为一种普遍适又是现代文化的重要组成部分，对形成人类的理性用的技术思维、促进人的智力发展具有不可替代的作用。数学课程是中等职业教育阶段的一门主要文化基础课程具有很强的工具功能，是学生学习其他文化基础课程、专业课程以及职业生涯发展的基础。它对学生认识数学与自然界、与人类社会的关系，认识数学的科学价值、文化价值、应用价值提高发现问题、分析和解决问题的能力，形成理性思维具有重要作用，对于学生智力的发展和康个性的形成起着有效的促进作用。</w:t>
            </w:r>
          </w:p>
          <w:p>
            <w:pPr>
              <w:widowControl/>
              <w:ind w:firstLine="482" w:firstLineChars="200"/>
              <w:jc w:val="left"/>
              <w:rPr>
                <w:rFonts w:ascii="宋体" w:hAnsi="宋体" w:eastAsia="宋体" w:cs="宋体"/>
                <w:b/>
                <w:bCs/>
                <w:kern w:val="0"/>
                <w:sz w:val="24"/>
                <w:szCs w:val="24"/>
              </w:rPr>
            </w:pPr>
            <w:r>
              <w:rPr>
                <w:rFonts w:hint="eastAsia" w:ascii="宋体" w:hAnsi="宋体" w:eastAsia="宋体" w:cs="宋体"/>
                <w:b/>
                <w:bCs/>
                <w:kern w:val="0"/>
                <w:sz w:val="24"/>
                <w:szCs w:val="24"/>
              </w:rPr>
              <w:t>质量标准</w:t>
            </w:r>
            <w:r>
              <w:rPr>
                <w:rFonts w:ascii="宋体" w:hAnsi="宋体" w:eastAsia="宋体" w:cs="宋体"/>
                <w:b/>
                <w:bCs/>
                <w:kern w:val="0"/>
                <w:sz w:val="24"/>
                <w:szCs w:val="24"/>
              </w:rPr>
              <w:t>:</w:t>
            </w:r>
          </w:p>
          <w:p>
            <w:pPr>
              <w:widowControl/>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构建必需基础，提供发展平台中等职业学校数学课程要确保学生学习“必需的数学”对数学基础知识、基本技能和基本能力内涵的界定，在理论与方法上应是最基本的、在现代生活和生产的应用中又是最广泛的。要构建既能体现中等职业教育特点，又能适应时代发展的必需基础的数学课程。中等职业学校数学课程还要确保学生“在数学上得到不同要尽可能满足不同专业、不同学生对数学的不同需的发展”，为学生个性发展提供多种平台。</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内容精简、实用，体现选择性和弹性中等职业学校数学课程要精选最基本的和应用最广泛的数体现近现代数学思想方法。要增加实际应用、问题探学内容、究、数学文化等内容，并采用整体规划与局部调整相结合的方形成基础和拓展两部分简明合理的内容结构式中等职业学校数学课程必须删除繁杂的运算与人为的技巧必须提出与学生认知水平相适应的逻辑推理、空间想象等能力要求，要适度加强贴近学生生活实际和所学专业相关的数学应用意识，适度加强计算器和现代信息技术的应用。</w:t>
            </w:r>
          </w:p>
          <w:p>
            <w:pPr>
              <w:widowControl/>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重视学习过程，改善学习方式中等职业学校数学课程要遵循学生认知心理发展的规律抓住知识的主干部分，突出通性通法。要展现知识形成和发展的过程，提供学生亲身感受和体验的机会，使学生在数学学习活动中获得新知、掌握技能、发展情感。中等职业学校数学教学无论是沿用并优化接受记忆、模仿练习的方式，还是采用自主探素、动手实践、合作交流的方式都要促使学生在学习过程中领会数学的思想方法，获得数学活动的经验。</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体现数学文化，提升数学素养。中等职业学校数学课程应适当反映数学的产生、发展和应用的超势，数学科学与社会发展之间的相互作用，数学美学价值，数学家的敬业、创新精神等，以次体现数学的文化价值并根据需要提出数学文化的学习要求，使学生接受数学文化的熏陶，领悟数学的美学价值。注重与现代信息技术的整合中等职业学校数学课程要大力加强与现代信息技术的有机整合，强化工具的使用，促进课程内容的优化。</w:t>
            </w:r>
          </w:p>
          <w:p>
            <w:pPr>
              <w:widowControl/>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要通过现代信息技术的应用，改善教学内容的呈现方式，改进教学过程和学习方式，帮助学生理解数学知识，提高信息收集、数据处理数学建模等应用能力。实施有效的学习评价中等职业学校数学课程的学习评价要以促进学生发展为目的，充分发挥评价的诊断功能、激励功能和教育功能。要通过学习评价，收集信息，改进教与学。要对不同的学生提出不同的评价要求。既要关注学生知识与技能的理解和掌握、能力的提高，又要关注他们情感态度与价值观的形成与发展。既要关在学生学习的结果又要关注他们在获得结果的过程中所作的努力。</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numPr>
                <w:ilvl w:val="0"/>
                <w:numId w:val="0"/>
              </w:numPr>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明确评价的主体与责任学生是评价的对象，也应成为评价的主体。在评价活动中应给学生自我评价的权利和评价他人的责任，让学生更多地发挥主体的作用。识</w:t>
            </w:r>
          </w:p>
          <w:p>
            <w:pPr>
              <w:widowControl/>
              <w:numPr>
                <w:ilvl w:val="0"/>
                <w:numId w:val="0"/>
              </w:numPr>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把握评价的依据与内容评价的依据是课程目标。应对学生从基础知识、基本技能的理解和掌握程度，基本能力的发展水平，学生的学习兴趣与态度，学习的潜能，提出问题和探究问题的能力等方面作出评</w:t>
            </w:r>
            <w:r>
              <w:rPr>
                <w:rFonts w:hint="eastAsia" w:ascii="宋体" w:hAnsi="宋体" w:eastAsia="宋体" w:cs="宋体"/>
                <w:sz w:val="24"/>
                <w:szCs w:val="24"/>
                <w:lang w:eastAsia="zh-CN"/>
              </w:rPr>
              <w:t>；</w:t>
            </w:r>
          </w:p>
          <w:p>
            <w:pPr>
              <w:widowControl/>
              <w:numPr>
                <w:ilvl w:val="0"/>
                <w:numId w:val="0"/>
              </w:numPr>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实施多元评价多元评价是指实施主体多元、形式多元、内容多元和目标多元等评价，实施时应根据评价的目的和内容进行选择。采用教师评价、自我评价、掌生互评、相关机构评价相结合，通过房性与定量、书面与口头、课内与课外、结果与过程等形式从知识与技能、过程与方法、情感态度与价值观等方面进行评价。对不同层次、不同发展要求的学生可采用不同的评价标准定量评价的重要形式是笔试，应注重对数学概念的实质性理解、数学思想方法堂握及解决简单实际问题能力的评价展纪录、应用激励性语言全面、客观地描述学生学习的进步情况要充分发挥数学作业在学习评价中的作用。作业的选择应多样化，可有常规作业，探究性数学问题，数学实验，数学建模等：作业结果的呈现形式可有习题解答，数学学习经验体会数学实验、应用报告等：对作业的评价可以是量化的，也可以是定性的。</w:t>
            </w: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jc w:val="left"/>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spacing w:line="4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教材由基础模块、拓展模块构成，基础模块为必修内容，分为上、下两册，共108学时。其中基础模块上册：集合，不等式，函数，指数函数与对数函数，三角函数；基础模块下册：直线和圆的方程，简单几何体，概率与统计初步。</w:t>
            </w:r>
          </w:p>
          <w:p>
            <w:pPr>
              <w:spacing w:line="4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教材每章按本章导语、大节、小节、例题、练习、习题、本章小结，阅读材料等进行编写，并设置了问题情境、探索研究、拓展延伸、信息技术等栏目教材配套有教师教学用书与同步练习，教师教学用书中不仅提供了内容要求、教材分析和教学建议，还对于教材每一小节都给出了教学设计，供教师备课、授课时参考，步练习中既有例题分析又有同步训练，帮助学生熟练掌提所学知识、技能和方法。</w:t>
            </w:r>
          </w:p>
          <w:p>
            <w:pPr>
              <w:spacing w:line="420" w:lineRule="exact"/>
              <w:ind w:firstLine="480" w:firstLineChars="200"/>
              <w:rPr>
                <w:sz w:val="24"/>
                <w:szCs w:val="24"/>
              </w:rPr>
            </w:pPr>
          </w:p>
          <w:p>
            <w:pPr>
              <w:spacing w:line="420" w:lineRule="exact"/>
              <w:ind w:firstLine="420" w:firstLineChars="200"/>
            </w:pPr>
          </w:p>
          <w:p>
            <w:pPr>
              <w:spacing w:line="42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pStyle w:val="7"/>
              <w:numPr>
                <w:ilvl w:val="0"/>
                <w:numId w:val="0"/>
              </w:numPr>
              <w:spacing w:line="420" w:lineRule="exact"/>
              <w:ind w:left="420" w:leftChars="0"/>
              <w:jc w:val="left"/>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w:t>
            </w:r>
            <w:r>
              <w:rPr>
                <w:rFonts w:hint="eastAsia" w:ascii="宋体" w:hAnsi="宋体" w:eastAsia="宋体" w:cs="宋体"/>
                <w:sz w:val="24"/>
                <w:szCs w:val="24"/>
              </w:rPr>
              <w:t>三角函数</w:t>
            </w:r>
          </w:p>
          <w:p>
            <w:pPr>
              <w:pStyle w:val="7"/>
              <w:numPr>
                <w:ilvl w:val="0"/>
                <w:numId w:val="0"/>
              </w:numPr>
              <w:spacing w:line="42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理解任意角的概念，理解终边相同的角的集合，理解弧度制的概念，掌握弧度和角度的互化</w:t>
            </w:r>
          </w:p>
          <w:p>
            <w:pPr>
              <w:pStyle w:val="7"/>
              <w:numPr>
                <w:ilvl w:val="0"/>
                <w:numId w:val="0"/>
              </w:numPr>
              <w:spacing w:line="420" w:lineRule="exact"/>
              <w:ind w:left="479" w:leftChars="228" w:firstLine="0" w:firstLineChars="0"/>
              <w:jc w:val="left"/>
              <w:rPr>
                <w:rFonts w:hint="eastAsia" w:ascii="宋体" w:hAnsi="宋体" w:eastAsia="宋体" w:cs="宋体"/>
                <w:sz w:val="24"/>
                <w:szCs w:val="24"/>
              </w:rPr>
            </w:pPr>
            <w:r>
              <w:rPr>
                <w:rFonts w:hint="eastAsia" w:ascii="宋体" w:hAnsi="宋体" w:eastAsia="宋体" w:cs="宋体"/>
                <w:sz w:val="24"/>
                <w:szCs w:val="24"/>
              </w:rPr>
              <w:t>理解任意角的三角函数定义，掌握三角函数在各象限的符号以及角的终边与单位圆交点的坐标掌握同角三角函数间的基本关系</w:t>
            </w:r>
          </w:p>
          <w:p>
            <w:pPr>
              <w:pStyle w:val="7"/>
              <w:numPr>
                <w:ilvl w:val="0"/>
                <w:numId w:val="0"/>
              </w:numPr>
              <w:spacing w:line="420" w:lineRule="exact"/>
              <w:ind w:left="479" w:leftChars="228" w:firstLine="0" w:firstLineChars="0"/>
              <w:jc w:val="left"/>
              <w:rPr>
                <w:rFonts w:hint="eastAsia" w:ascii="宋体" w:hAnsi="宋体" w:eastAsia="宋体" w:cs="宋体"/>
                <w:sz w:val="24"/>
                <w:szCs w:val="24"/>
              </w:rPr>
            </w:pPr>
            <w:r>
              <w:rPr>
                <w:rFonts w:hint="eastAsia" w:ascii="宋体" w:hAnsi="宋体" w:eastAsia="宋体" w:cs="宋体"/>
                <w:color w:val="000000" w:themeColor="text1"/>
                <w:kern w:val="24"/>
                <w:sz w:val="24"/>
                <w:szCs w:val="24"/>
                <w14:textFill>
                  <w14:solidFill>
                    <w14:schemeClr w14:val="tx1"/>
                  </w14:solidFill>
                </w14:textFill>
              </w:rPr>
              <w:t xml:space="preserve"> </w:t>
            </w:r>
            <w:r>
              <w:rPr>
                <w:rFonts w:hint="eastAsia" w:ascii="宋体" w:hAnsi="宋体" w:eastAsia="宋体" w:cs="宋体"/>
                <w:sz w:val="24"/>
                <w:szCs w:val="24"/>
              </w:rPr>
              <w:t>会用诱导公式化简三角函数式</w:t>
            </w:r>
          </w:p>
          <w:p>
            <w:pPr>
              <w:pStyle w:val="7"/>
              <w:numPr>
                <w:ilvl w:val="0"/>
                <w:numId w:val="0"/>
              </w:numPr>
              <w:spacing w:line="420" w:lineRule="exact"/>
              <w:ind w:left="479" w:leftChars="228" w:firstLine="0" w:firstLineChars="0"/>
              <w:jc w:val="left"/>
              <w:rPr>
                <w:rFonts w:hint="eastAsia" w:ascii="宋体" w:hAnsi="宋体" w:eastAsia="宋体" w:cs="宋体"/>
                <w:sz w:val="24"/>
                <w:szCs w:val="24"/>
              </w:rPr>
            </w:pPr>
            <w:r>
              <w:rPr>
                <w:rFonts w:hint="eastAsia" w:ascii="宋体" w:hAnsi="宋体" w:eastAsia="宋体" w:cs="宋体"/>
                <w:color w:val="000000" w:themeColor="text1"/>
                <w:kern w:val="24"/>
                <w:sz w:val="24"/>
                <w:szCs w:val="24"/>
                <w14:textFill>
                  <w14:solidFill>
                    <w14:schemeClr w14:val="tx1"/>
                  </w14:solidFill>
                </w14:textFill>
              </w:rPr>
              <w:t xml:space="preserve"> </w:t>
            </w:r>
            <w:r>
              <w:rPr>
                <w:rFonts w:hint="eastAsia" w:ascii="宋体" w:hAnsi="宋体" w:eastAsia="宋体" w:cs="宋体"/>
                <w:sz w:val="24"/>
                <w:szCs w:val="24"/>
              </w:rPr>
              <w:t>掌握正弦函数、余弦函数的图像和性质(定义域、值域、周期性、奇偶性、单调性)</w:t>
            </w:r>
          </w:p>
          <w:p>
            <w:pPr>
              <w:pStyle w:val="7"/>
              <w:numPr>
                <w:ilvl w:val="0"/>
                <w:numId w:val="0"/>
              </w:numPr>
              <w:spacing w:line="420" w:lineRule="exact"/>
              <w:ind w:left="420" w:leftChars="0"/>
              <w:jc w:val="left"/>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lang w:eastAsia="zh-CN"/>
              </w:rPr>
              <w:t>）</w:t>
            </w:r>
            <w:r>
              <w:rPr>
                <w:rFonts w:hint="eastAsia" w:ascii="宋体" w:hAnsi="宋体" w:eastAsia="宋体" w:cs="宋体"/>
                <w:sz w:val="24"/>
                <w:szCs w:val="24"/>
              </w:rPr>
              <w:t>直线和圆的方程</w:t>
            </w:r>
          </w:p>
          <w:p>
            <w:pPr>
              <w:pStyle w:val="7"/>
              <w:numPr>
                <w:ilvl w:val="0"/>
                <w:numId w:val="0"/>
              </w:numPr>
              <w:spacing w:line="42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熟练掌握两点间的距离公式、线段的中点坐标公式及点到直线的距离公式；</w:t>
            </w:r>
          </w:p>
          <w:p>
            <w:pPr>
              <w:pStyle w:val="7"/>
              <w:numPr>
                <w:ilvl w:val="0"/>
                <w:numId w:val="0"/>
              </w:numPr>
              <w:spacing w:line="42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rPr>
              <w:t>了解直线的方程的概念，理解直线的倾斜角和斜率的概念，掌握求直线斜率的方法，熟练掌握直线的点斜式、斜截式和一般式方程</w:t>
            </w:r>
            <w:r>
              <w:rPr>
                <w:rFonts w:hint="eastAsia" w:ascii="宋体" w:hAnsi="宋体" w:eastAsia="宋体" w:cs="宋体"/>
                <w:sz w:val="24"/>
                <w:szCs w:val="24"/>
                <w:lang w:eastAsia="zh-CN"/>
              </w:rPr>
              <w:t>；</w:t>
            </w:r>
          </w:p>
          <w:p>
            <w:pPr>
              <w:pStyle w:val="7"/>
              <w:numPr>
                <w:ilvl w:val="0"/>
                <w:numId w:val="0"/>
              </w:numPr>
              <w:spacing w:line="42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rPr>
              <w:t>理解平面内两条直线的位置关系，会求交点坐标，掌握两条直线平行与垂直的判定方法</w:t>
            </w:r>
            <w:r>
              <w:rPr>
                <w:rFonts w:hint="eastAsia" w:ascii="宋体" w:hAnsi="宋体" w:eastAsia="宋体" w:cs="宋体"/>
                <w:sz w:val="24"/>
                <w:szCs w:val="24"/>
                <w:lang w:eastAsia="zh-CN"/>
              </w:rPr>
              <w:t>；</w:t>
            </w:r>
          </w:p>
          <w:p>
            <w:pPr>
              <w:pStyle w:val="7"/>
              <w:numPr>
                <w:ilvl w:val="0"/>
                <w:numId w:val="0"/>
              </w:numPr>
              <w:spacing w:line="42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掌握圆的标准方程，了解圆的一般式方程，会判断直线与圆的位置关系</w:t>
            </w:r>
          </w:p>
          <w:p>
            <w:pPr>
              <w:spacing w:line="42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三</w:t>
            </w:r>
            <w:r>
              <w:rPr>
                <w:rFonts w:hint="eastAsia" w:ascii="宋体" w:hAnsi="宋体" w:eastAsia="宋体" w:cs="宋体"/>
                <w:sz w:val="24"/>
                <w:szCs w:val="24"/>
                <w:lang w:eastAsia="zh-CN"/>
              </w:rPr>
              <w:t>）</w:t>
            </w:r>
            <w:r>
              <w:rPr>
                <w:rFonts w:hint="eastAsia" w:ascii="宋体" w:hAnsi="宋体" w:eastAsia="宋体" w:cs="宋体"/>
                <w:sz w:val="24"/>
                <w:szCs w:val="24"/>
              </w:rPr>
              <w:t>简单几何体</w:t>
            </w:r>
          </w:p>
          <w:p>
            <w:pPr>
              <w:pStyle w:val="7"/>
              <w:spacing w:line="420" w:lineRule="exact"/>
              <w:jc w:val="left"/>
              <w:rPr>
                <w:rFonts w:hint="eastAsia" w:ascii="宋体" w:hAnsi="宋体" w:eastAsia="宋体" w:cs="宋体"/>
                <w:sz w:val="24"/>
                <w:szCs w:val="24"/>
              </w:rPr>
            </w:pPr>
            <w:r>
              <w:rPr>
                <w:rFonts w:hint="eastAsia" w:ascii="宋体" w:hAnsi="宋体" w:eastAsia="宋体" w:cs="宋体"/>
                <w:sz w:val="24"/>
                <w:szCs w:val="24"/>
              </w:rPr>
              <w:t>了解柱、锥、球及其简单组合体的结构特征及性质，会求简单几何体的表面积和体积</w:t>
            </w:r>
          </w:p>
          <w:p>
            <w:pPr>
              <w:spacing w:line="42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（四）概率与统计初步</w:t>
            </w:r>
          </w:p>
          <w:p>
            <w:pPr>
              <w:spacing w:line="42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能运用概率知识解决简单的实际问题</w:t>
            </w:r>
          </w:p>
          <w:p>
            <w:pPr>
              <w:spacing w:line="420" w:lineRule="exact"/>
              <w:ind w:left="1155" w:leftChars="550"/>
              <w:jc w:val="left"/>
              <w:rPr>
                <w:rFonts w:hint="eastAsia" w:ascii="宋体" w:hAnsi="宋体" w:eastAsia="宋体" w:cs="宋体"/>
                <w:sz w:val="24"/>
                <w:szCs w:val="24"/>
              </w:rPr>
            </w:pPr>
          </w:p>
          <w:p>
            <w:pPr>
              <w:spacing w:line="420" w:lineRule="exact"/>
              <w:ind w:left="1155" w:leftChars="550"/>
              <w:jc w:val="left"/>
              <w:rPr>
                <w:rFonts w:hint="eastAsia" w:ascii="宋体" w:hAnsi="宋体" w:eastAsia="宋体" w:cs="宋体"/>
                <w:sz w:val="24"/>
                <w:szCs w:val="24"/>
              </w:rPr>
            </w:pPr>
          </w:p>
          <w:p>
            <w:pPr>
              <w:spacing w:line="420" w:lineRule="exact"/>
              <w:ind w:left="1155" w:leftChars="550"/>
              <w:jc w:val="left"/>
              <w:rPr>
                <w:rFonts w:hint="eastAsia" w:ascii="宋体" w:hAnsi="宋体" w:eastAsia="宋体" w:cs="宋体"/>
                <w:sz w:val="24"/>
                <w:szCs w:val="24"/>
              </w:rPr>
            </w:pPr>
          </w:p>
          <w:p>
            <w:pPr>
              <w:spacing w:line="420" w:lineRule="exact"/>
              <w:jc w:val="left"/>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spacing w:line="420" w:lineRule="exact"/>
              <w:jc w:val="left"/>
              <w:rPr>
                <w:rFonts w:hint="eastAsia" w:ascii="宋体" w:hAnsi="宋体" w:eastAsia="宋体" w:cs="宋体"/>
                <w:sz w:val="24"/>
                <w:szCs w:val="24"/>
              </w:rPr>
            </w:pPr>
            <w:r>
              <w:rPr>
                <w:rFonts w:hint="eastAsia" w:ascii="宋体" w:hAnsi="宋体" w:eastAsia="宋体" w:cs="宋体"/>
                <w:sz w:val="24"/>
                <w:szCs w:val="24"/>
                <w:highlight w:val="lightGray"/>
              </w:rPr>
              <w:t>（1）</w:t>
            </w:r>
            <w:r>
              <w:rPr>
                <w:rFonts w:hint="eastAsia" w:ascii="宋体" w:hAnsi="宋体" w:eastAsia="宋体" w:cs="宋体"/>
                <w:sz w:val="24"/>
                <w:szCs w:val="24"/>
              </w:rPr>
              <w:t>基础知识是基本技能、基本能力的载体，是问题探究、实际应用的基础，而基本技能、基本能力又可促使学生加深对基础知识的理解，它们在教学活动过程中相互交替、相互交融要从中等职业学校数学教学的实际出发，在教学活动中把基础落到实处。</w:t>
            </w:r>
          </w:p>
          <w:p>
            <w:pPr>
              <w:spacing w:line="420" w:lineRule="exact"/>
              <w:jc w:val="left"/>
              <w:rPr>
                <w:rFonts w:hint="eastAsia" w:ascii="宋体" w:hAnsi="宋体" w:eastAsia="宋体" w:cs="宋体"/>
                <w:sz w:val="24"/>
                <w:szCs w:val="24"/>
              </w:rPr>
            </w:pPr>
            <w:r>
              <w:rPr>
                <w:rFonts w:hint="eastAsia" w:ascii="宋体" w:hAnsi="宋体" w:eastAsia="宋体" w:cs="宋体"/>
                <w:sz w:val="24"/>
                <w:szCs w:val="24"/>
              </w:rPr>
              <w:t>（2）应通过典型例子创设问题情景，引导学生经历基础知识的生成与发展的过程，并在初步运用中理解基础知识。要将一些核心的数学基本思想方法贯穿于教学的始终，并帮助学生逐步加深理解。</w:t>
            </w:r>
          </w:p>
          <w:p>
            <w:pPr>
              <w:spacing w:line="420" w:lineRule="exact"/>
              <w:jc w:val="left"/>
              <w:rPr>
                <w:rFonts w:hint="eastAsia" w:ascii="宋体" w:hAnsi="宋体" w:eastAsia="宋体" w:cs="宋体"/>
                <w:sz w:val="24"/>
                <w:szCs w:val="24"/>
              </w:rPr>
            </w:pPr>
            <w:r>
              <w:rPr>
                <w:rFonts w:hint="eastAsia" w:ascii="宋体" w:hAnsi="宋体" w:eastAsia="宋体" w:cs="宋体"/>
                <w:sz w:val="24"/>
                <w:szCs w:val="24"/>
              </w:rPr>
              <w:t>（3）倡导基本技能训练的多种方式，提高学生的参与度，适度运用变式训练、使学生掌握通性通法。基本技能训练一定要降低繁杂的运算要求、淡化人为的技巧。</w:t>
            </w:r>
          </w:p>
          <w:p>
            <w:pPr>
              <w:spacing w:line="420" w:lineRule="exact"/>
              <w:jc w:val="left"/>
              <w:rPr>
                <w:rFonts w:hint="eastAsia" w:ascii="宋体" w:hAnsi="宋体" w:eastAsia="宋体" w:cs="宋体"/>
                <w:sz w:val="24"/>
                <w:szCs w:val="24"/>
              </w:rPr>
            </w:pPr>
            <w:r>
              <w:rPr>
                <w:rFonts w:hint="eastAsia" w:ascii="宋体" w:hAnsi="宋体" w:eastAsia="宋体" w:cs="宋体"/>
                <w:sz w:val="24"/>
                <w:szCs w:val="24"/>
              </w:rPr>
              <w:t>（4）应确立和尊重学生在学习活动中的主体地位，要关注学生学习兴趣的激发与保持，学习信心的坚持与增强，要运用适当的教学手段和相关的教学资源，为学生提供思考的时间和空间，鼓励学生积极参与数学学习活动，既有包括思维参与，又有行为参与。</w:t>
            </w:r>
          </w:p>
          <w:p>
            <w:pPr>
              <w:spacing w:line="420" w:lineRule="exact"/>
              <w:jc w:val="left"/>
              <w:rPr>
                <w:rFonts w:hint="eastAsia" w:ascii="宋体" w:hAnsi="宋体" w:eastAsia="宋体" w:cs="宋体"/>
                <w:sz w:val="24"/>
                <w:szCs w:val="24"/>
              </w:rPr>
            </w:pPr>
          </w:p>
          <w:p>
            <w:pPr>
              <w:spacing w:line="420" w:lineRule="exact"/>
              <w:jc w:val="left"/>
              <w:rPr>
                <w:rFonts w:hint="eastAsia" w:ascii="宋体" w:hAnsi="宋体" w:eastAsia="宋体" w:cs="宋体"/>
                <w:sz w:val="24"/>
                <w:szCs w:val="24"/>
              </w:rPr>
            </w:pPr>
          </w:p>
          <w:p>
            <w:pPr>
              <w:spacing w:line="420" w:lineRule="exact"/>
              <w:jc w:val="left"/>
              <w:rPr>
                <w:rFonts w:hint="eastAsia" w:ascii="宋体" w:hAnsi="宋体" w:eastAsia="宋体" w:cs="宋体"/>
                <w:sz w:val="24"/>
                <w:szCs w:val="24"/>
              </w:rPr>
            </w:pPr>
          </w:p>
        </w:tc>
      </w:tr>
    </w:tbl>
    <w:p/>
    <w:tbl>
      <w:tblPr>
        <w:tblStyle w:val="5"/>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rPr>
          <w:b/>
          <w:sz w:val="44"/>
        </w:rPr>
      </w:pPr>
    </w:p>
    <w:p>
      <w:pPr>
        <w:jc w:val="center"/>
        <w:rPr>
          <w:b/>
          <w:sz w:val="44"/>
        </w:rPr>
      </w:pPr>
      <w:r>
        <w:rPr>
          <w:rFonts w:hint="eastAsia"/>
          <w:b/>
          <w:sz w:val="44"/>
        </w:rPr>
        <w:t>学</w:t>
      </w:r>
      <w:r>
        <w:rPr>
          <w:b/>
          <w:sz w:val="44"/>
        </w:rPr>
        <w:t xml:space="preserve"> 期 授 课 计 划 表</w:t>
      </w:r>
    </w:p>
    <w:p/>
    <w:tbl>
      <w:tblPr>
        <w:tblStyle w:val="5"/>
        <w:tblW w:w="10682" w:type="dxa"/>
        <w:tblInd w:w="0" w:type="dxa"/>
        <w:tblLayout w:type="fixed"/>
        <w:tblCellMar>
          <w:top w:w="0" w:type="dxa"/>
          <w:left w:w="108" w:type="dxa"/>
          <w:bottom w:w="0" w:type="dxa"/>
          <w:right w:w="108" w:type="dxa"/>
        </w:tblCellMar>
      </w:tblPr>
      <w:tblGrid>
        <w:gridCol w:w="833"/>
        <w:gridCol w:w="2056"/>
        <w:gridCol w:w="4189"/>
        <w:gridCol w:w="118"/>
        <w:gridCol w:w="2268"/>
        <w:gridCol w:w="67"/>
        <w:gridCol w:w="595"/>
        <w:gridCol w:w="47"/>
        <w:gridCol w:w="509"/>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gridSpan w:val="3"/>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gridSpan w:val="2"/>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2.26--3.03</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角的概念的推广与弧度制</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任意角和弧度制概念</w:t>
            </w:r>
          </w:p>
        </w:tc>
        <w:tc>
          <w:tcPr>
            <w:tcW w:w="59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3.04--3.10</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任意角三角函数的定义</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单位圆、三角函数</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3.11--3.17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同角三角函数的基本关系式和诱导公式</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诱导公式</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3.18--3.24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正余弦函数的图象和性质</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正余弦函数图像和性质</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3.25--3.31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数轴坐标系上的距离公式与中点公式</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坐标系内的距离公式和中点公式</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4.01--4.07</w:t>
            </w:r>
          </w:p>
        </w:tc>
        <w:tc>
          <w:tcPr>
            <w:tcW w:w="4307" w:type="dxa"/>
            <w:gridSpan w:val="2"/>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直线方程</w:t>
            </w:r>
          </w:p>
        </w:tc>
        <w:tc>
          <w:tcPr>
            <w:tcW w:w="2268" w:type="dxa"/>
            <w:tcBorders>
              <w:top w:val="nil"/>
              <w:left w:val="nil"/>
              <w:bottom w:val="single" w:color="auto" w:sz="4" w:space="0"/>
              <w:right w:val="single" w:color="auto" w:sz="8" w:space="0"/>
            </w:tcBorders>
            <w:shd w:val="clear" w:color="auto" w:fill="auto"/>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直线方程斜截式</w:t>
            </w:r>
          </w:p>
        </w:tc>
        <w:tc>
          <w:tcPr>
            <w:tcW w:w="709" w:type="dxa"/>
            <w:gridSpan w:val="3"/>
            <w:tcBorders>
              <w:top w:val="nil"/>
              <w:left w:val="nil"/>
              <w:bottom w:val="single" w:color="auto" w:sz="4" w:space="0"/>
              <w:right w:val="single" w:color="auto" w:sz="8" w:space="0"/>
            </w:tcBorders>
            <w:shd w:val="clear" w:color="auto" w:fill="auto"/>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4</w:t>
            </w:r>
          </w:p>
        </w:tc>
        <w:tc>
          <w:tcPr>
            <w:tcW w:w="509" w:type="dxa"/>
            <w:tcBorders>
              <w:top w:val="nil"/>
              <w:left w:val="nil"/>
              <w:bottom w:val="single" w:color="auto" w:sz="4" w:space="0"/>
              <w:right w:val="single" w:color="auto" w:sz="8" w:space="0"/>
            </w:tcBorders>
            <w:shd w:val="clear" w:color="auto" w:fill="auto"/>
            <w:vAlign w:val="bottom"/>
          </w:tcPr>
          <w:p>
            <w:pPr>
              <w:widowControl/>
              <w:jc w:val="left"/>
              <w:rPr>
                <w:rFonts w:ascii="楷体_GB2312" w:hAnsi="宋体" w:eastAsia="楷体_GB2312" w:cs="宋体"/>
                <w:kern w:val="0"/>
                <w:sz w:val="24"/>
                <w:szCs w:val="24"/>
              </w:rPr>
            </w:pPr>
            <w:r>
              <w:rPr>
                <w:rFonts w:hint="eastAsia" w:ascii="楷体_GB2312" w:hAnsi="宋体" w:eastAsia="楷体_GB2312" w:cs="宋体"/>
                <w:kern w:val="0"/>
                <w:sz w:val="24"/>
                <w:szCs w:val="24"/>
              </w:rPr>
              <w:t>清明</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4.08--4.14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直线方程</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直线方程点斜式一般式</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4.15--4.21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直线之间的位置关系</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直线平行相交垂直判定</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4.22--4.28</w:t>
            </w:r>
          </w:p>
        </w:tc>
        <w:tc>
          <w:tcPr>
            <w:tcW w:w="4189" w:type="dxa"/>
            <w:tcBorders>
              <w:top w:val="nil"/>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4"/>
                <w:szCs w:val="24"/>
              </w:rPr>
            </w:pPr>
            <w:r>
              <w:rPr>
                <w:rFonts w:hint="eastAsia" w:ascii="宋体" w:hAnsi="宋体" w:eastAsia="宋体" w:cs="宋体"/>
                <w:kern w:val="0"/>
                <w:sz w:val="24"/>
                <w:szCs w:val="24"/>
              </w:rPr>
              <w:t>点到直线的距离</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4"/>
                <w:szCs w:val="24"/>
              </w:rPr>
            </w:pPr>
            <w:r>
              <w:rPr>
                <w:rFonts w:hint="eastAsia" w:ascii="宋体" w:hAnsi="宋体" w:eastAsia="宋体" w:cs="宋体"/>
                <w:kern w:val="0"/>
                <w:sz w:val="24"/>
                <w:szCs w:val="24"/>
              </w:rPr>
              <w:t>点到直线距离公式计算</w:t>
            </w:r>
          </w:p>
        </w:tc>
        <w:tc>
          <w:tcPr>
            <w:tcW w:w="595" w:type="dxa"/>
            <w:tcBorders>
              <w:top w:val="nil"/>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4.29--5.5</w:t>
            </w:r>
          </w:p>
        </w:tc>
        <w:tc>
          <w:tcPr>
            <w:tcW w:w="4189" w:type="dxa"/>
            <w:tcBorders>
              <w:top w:val="nil"/>
              <w:left w:val="nil"/>
              <w:bottom w:val="single" w:color="auto" w:sz="4" w:space="0"/>
              <w:right w:val="single" w:color="auto" w:sz="8" w:space="0"/>
            </w:tcBorders>
            <w:shd w:val="clear" w:color="auto" w:fill="auto"/>
            <w:noWrap/>
            <w:vAlign w:val="bottom"/>
          </w:tcPr>
          <w:p>
            <w:pPr>
              <w:widowControl/>
              <w:jc w:val="both"/>
              <w:rPr>
                <w:rFonts w:hint="eastAsia" w:ascii="宋体" w:hAnsi="宋体" w:eastAsia="宋体" w:cs="宋体"/>
                <w:kern w:val="0"/>
                <w:sz w:val="24"/>
                <w:szCs w:val="24"/>
              </w:rPr>
            </w:pPr>
            <w:r>
              <w:rPr>
                <w:rFonts w:hint="eastAsia" w:ascii="宋体" w:hAnsi="宋体" w:eastAsia="宋体" w:cs="宋体"/>
                <w:kern w:val="0"/>
                <w:sz w:val="24"/>
                <w:szCs w:val="24"/>
              </w:rPr>
              <w:t>圆的方程</w:t>
            </w:r>
          </w:p>
        </w:tc>
        <w:tc>
          <w:tcPr>
            <w:tcW w:w="2453" w:type="dxa"/>
            <w:gridSpan w:val="3"/>
            <w:tcBorders>
              <w:top w:val="nil"/>
              <w:left w:val="nil"/>
              <w:bottom w:val="single" w:color="auto" w:sz="4" w:space="0"/>
              <w:right w:val="single" w:color="auto" w:sz="8" w:space="0"/>
            </w:tcBorders>
            <w:shd w:val="clear" w:color="auto" w:fill="auto"/>
            <w:noWrap/>
            <w:vAlign w:val="bottom"/>
          </w:tcPr>
          <w:p>
            <w:pPr>
              <w:widowControl/>
              <w:jc w:val="both"/>
              <w:rPr>
                <w:rFonts w:hint="eastAsia" w:ascii="宋体" w:hAnsi="宋体" w:eastAsia="宋体" w:cs="宋体"/>
                <w:kern w:val="0"/>
                <w:sz w:val="24"/>
                <w:szCs w:val="24"/>
              </w:rPr>
            </w:pPr>
            <w:r>
              <w:rPr>
                <w:rFonts w:hint="eastAsia" w:ascii="宋体" w:hAnsi="宋体" w:eastAsia="宋体" w:cs="宋体"/>
                <w:kern w:val="0"/>
                <w:sz w:val="24"/>
                <w:szCs w:val="24"/>
              </w:rPr>
              <w:t>圆的标准方程</w:t>
            </w:r>
          </w:p>
        </w:tc>
        <w:tc>
          <w:tcPr>
            <w:tcW w:w="595" w:type="dxa"/>
            <w:tcBorders>
              <w:top w:val="nil"/>
              <w:left w:val="nil"/>
              <w:bottom w:val="single" w:color="auto" w:sz="4" w:space="0"/>
              <w:right w:val="single" w:color="auto" w:sz="8" w:space="0"/>
            </w:tcBorders>
            <w:shd w:val="clear" w:color="auto" w:fill="auto"/>
            <w:noWrap/>
            <w:vAlign w:val="bottom"/>
          </w:tcPr>
          <w:p>
            <w:pPr>
              <w:widowControl/>
              <w:jc w:val="both"/>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楷体_GB2312" w:hAnsi="宋体" w:eastAsia="楷体_GB2312" w:cs="宋体"/>
                <w:kern w:val="0"/>
                <w:sz w:val="24"/>
                <w:szCs w:val="24"/>
              </w:rPr>
            </w:pPr>
            <w:r>
              <w:rPr>
                <w:rFonts w:hint="eastAsia" w:ascii="楷体_GB2312" w:hAnsi="宋体" w:eastAsia="楷体_GB2312" w:cs="宋体"/>
                <w:kern w:val="0"/>
                <w:sz w:val="24"/>
                <w:szCs w:val="24"/>
              </w:rPr>
              <w:t>劳动节</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5.06—5.12</w:t>
            </w:r>
          </w:p>
        </w:tc>
        <w:tc>
          <w:tcPr>
            <w:tcW w:w="4189" w:type="dxa"/>
            <w:tcBorders>
              <w:top w:val="nil"/>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4"/>
                <w:szCs w:val="24"/>
              </w:rPr>
            </w:pPr>
            <w:r>
              <w:rPr>
                <w:rFonts w:hint="eastAsia" w:ascii="宋体" w:hAnsi="宋体" w:eastAsia="宋体" w:cs="宋体"/>
                <w:kern w:val="0"/>
                <w:sz w:val="24"/>
                <w:szCs w:val="24"/>
              </w:rPr>
              <w:t>圆的方程（二）</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4"/>
                <w:szCs w:val="24"/>
              </w:rPr>
            </w:pPr>
            <w:r>
              <w:rPr>
                <w:rFonts w:hint="eastAsia" w:ascii="宋体" w:hAnsi="宋体" w:eastAsia="宋体" w:cs="宋体"/>
                <w:kern w:val="0"/>
                <w:sz w:val="24"/>
                <w:szCs w:val="24"/>
              </w:rPr>
              <w:t>圆的一般方程</w:t>
            </w:r>
          </w:p>
        </w:tc>
        <w:tc>
          <w:tcPr>
            <w:tcW w:w="595" w:type="dxa"/>
            <w:tcBorders>
              <w:top w:val="nil"/>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5.13--5.19</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both"/>
              <w:rPr>
                <w:rFonts w:hint="eastAsia" w:ascii="宋体" w:hAnsi="宋体" w:eastAsia="宋体" w:cs="宋体"/>
                <w:kern w:val="0"/>
                <w:sz w:val="24"/>
                <w:szCs w:val="24"/>
              </w:rPr>
            </w:pPr>
            <w:r>
              <w:rPr>
                <w:rFonts w:hint="eastAsia" w:ascii="宋体" w:hAnsi="宋体" w:eastAsia="宋体" w:cs="宋体"/>
                <w:kern w:val="0"/>
                <w:sz w:val="24"/>
                <w:szCs w:val="24"/>
              </w:rPr>
              <w:t>直线与圆位置关系</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4"/>
                <w:szCs w:val="24"/>
              </w:rPr>
            </w:pPr>
            <w:r>
              <w:rPr>
                <w:rFonts w:hint="eastAsia" w:ascii="宋体" w:hAnsi="宋体" w:eastAsia="宋体" w:cs="宋体"/>
                <w:kern w:val="0"/>
                <w:sz w:val="24"/>
                <w:szCs w:val="24"/>
              </w:rPr>
              <w:t>直线与圆位置关系判定（几何法）</w:t>
            </w:r>
          </w:p>
        </w:tc>
        <w:tc>
          <w:tcPr>
            <w:tcW w:w="595" w:type="dxa"/>
            <w:tcBorders>
              <w:top w:val="nil"/>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5.20--5.26</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both"/>
              <w:rPr>
                <w:rFonts w:hint="eastAsia" w:ascii="宋体" w:hAnsi="宋体" w:eastAsia="宋体" w:cs="宋体"/>
                <w:kern w:val="0"/>
                <w:sz w:val="24"/>
                <w:szCs w:val="24"/>
              </w:rPr>
            </w:pPr>
            <w:r>
              <w:rPr>
                <w:rFonts w:hint="eastAsia" w:ascii="宋体" w:hAnsi="宋体" w:eastAsia="宋体" w:cs="宋体"/>
                <w:kern w:val="0"/>
                <w:sz w:val="24"/>
                <w:szCs w:val="24"/>
              </w:rPr>
              <w:t>直线与圆的位置关系</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4"/>
                <w:szCs w:val="24"/>
              </w:rPr>
            </w:pPr>
            <w:r>
              <w:rPr>
                <w:rFonts w:hint="eastAsia" w:ascii="宋体" w:hAnsi="宋体" w:eastAsia="宋体" w:cs="宋体"/>
                <w:kern w:val="0"/>
                <w:sz w:val="24"/>
                <w:szCs w:val="24"/>
              </w:rPr>
              <w:t>直线与圆位置关系判定（代数法）</w:t>
            </w:r>
          </w:p>
        </w:tc>
        <w:tc>
          <w:tcPr>
            <w:tcW w:w="595" w:type="dxa"/>
            <w:tcBorders>
              <w:top w:val="nil"/>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5.27--6.02</w:t>
            </w:r>
          </w:p>
        </w:tc>
        <w:tc>
          <w:tcPr>
            <w:tcW w:w="4189"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rPr>
            </w:pPr>
            <w:r>
              <w:rPr>
                <w:rFonts w:hint="eastAsia" w:ascii="宋体" w:hAnsi="宋体" w:eastAsia="宋体" w:cs="宋体"/>
                <w:kern w:val="0"/>
                <w:sz w:val="24"/>
                <w:szCs w:val="24"/>
              </w:rPr>
              <w:t>多面体与旋转体</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4"/>
                <w:szCs w:val="24"/>
              </w:rPr>
            </w:pPr>
            <w:r>
              <w:rPr>
                <w:rFonts w:hint="eastAsia" w:ascii="宋体" w:hAnsi="宋体" w:eastAsia="宋体" w:cs="宋体"/>
                <w:kern w:val="0"/>
                <w:sz w:val="24"/>
                <w:szCs w:val="24"/>
              </w:rPr>
              <w:t>棱柱棱锥圆柱圆锥球</w:t>
            </w:r>
          </w:p>
        </w:tc>
        <w:tc>
          <w:tcPr>
            <w:tcW w:w="595" w:type="dxa"/>
            <w:tcBorders>
              <w:top w:val="nil"/>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6.03--6.09</w:t>
            </w:r>
          </w:p>
        </w:tc>
        <w:tc>
          <w:tcPr>
            <w:tcW w:w="4189"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rPr>
            </w:pPr>
            <w:r>
              <w:rPr>
                <w:rFonts w:hint="eastAsia" w:ascii="宋体" w:hAnsi="宋体" w:eastAsia="宋体" w:cs="宋体"/>
                <w:kern w:val="0"/>
                <w:sz w:val="24"/>
                <w:szCs w:val="24"/>
              </w:rPr>
              <w:t>空间几何体相关计算</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4"/>
                <w:szCs w:val="24"/>
              </w:rPr>
            </w:pPr>
            <w:r>
              <w:rPr>
                <w:rFonts w:hint="eastAsia" w:ascii="宋体" w:hAnsi="宋体" w:eastAsia="宋体" w:cs="宋体"/>
                <w:kern w:val="0"/>
                <w:sz w:val="24"/>
                <w:szCs w:val="24"/>
              </w:rPr>
              <w:t>表面积体积计算 三视图</w:t>
            </w:r>
          </w:p>
        </w:tc>
        <w:tc>
          <w:tcPr>
            <w:tcW w:w="595" w:type="dxa"/>
            <w:tcBorders>
              <w:top w:val="nil"/>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6.10--6.16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rPr>
            </w:pPr>
            <w:r>
              <w:rPr>
                <w:rFonts w:hint="eastAsia" w:ascii="宋体" w:hAnsi="宋体" w:eastAsia="宋体" w:cs="宋体"/>
                <w:kern w:val="0"/>
                <w:sz w:val="24"/>
                <w:szCs w:val="24"/>
              </w:rPr>
              <w:t>概率初步</w:t>
            </w:r>
          </w:p>
        </w:tc>
        <w:tc>
          <w:tcPr>
            <w:tcW w:w="2453" w:type="dxa"/>
            <w:gridSpan w:val="3"/>
            <w:tcBorders>
              <w:top w:val="single" w:color="auto" w:sz="4" w:space="0"/>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概率求法</w:t>
            </w: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4"/>
                <w:szCs w:val="24"/>
              </w:rPr>
            </w:pPr>
            <w:r>
              <w:rPr>
                <w:rFonts w:hint="eastAsia" w:ascii="宋体" w:hAnsi="宋体" w:eastAsia="宋体" w:cs="宋体"/>
                <w:kern w:val="0"/>
                <w:sz w:val="24"/>
                <w:szCs w:val="24"/>
              </w:rPr>
              <w:t>4</w:t>
            </w:r>
          </w:p>
        </w:tc>
        <w:tc>
          <w:tcPr>
            <w:tcW w:w="556" w:type="dxa"/>
            <w:gridSpan w:val="2"/>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端午</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6.17--6.23</w:t>
            </w:r>
          </w:p>
        </w:tc>
        <w:tc>
          <w:tcPr>
            <w:tcW w:w="4189"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复习第五章、第六章</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知识点背诵、解题思路</w:t>
            </w:r>
          </w:p>
        </w:tc>
        <w:tc>
          <w:tcPr>
            <w:tcW w:w="595" w:type="dxa"/>
            <w:tcBorders>
              <w:top w:val="nil"/>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6.24--6.30</w:t>
            </w:r>
          </w:p>
        </w:tc>
        <w:tc>
          <w:tcPr>
            <w:tcW w:w="4189"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复习第七章、第八章</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知识点背诵、解题思路</w:t>
            </w:r>
          </w:p>
        </w:tc>
        <w:tc>
          <w:tcPr>
            <w:tcW w:w="595" w:type="dxa"/>
            <w:tcBorders>
              <w:top w:val="nil"/>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7.01-7.07</w:t>
            </w:r>
          </w:p>
        </w:tc>
        <w:tc>
          <w:tcPr>
            <w:tcW w:w="7793" w:type="dxa"/>
            <w:gridSpan w:val="7"/>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期末</w:t>
            </w:r>
            <w:r>
              <w:rPr>
                <w:rFonts w:hint="eastAsia" w:ascii="宋体" w:hAnsi="宋体" w:eastAsia="宋体" w:cs="宋体"/>
                <w:b/>
                <w:bCs/>
                <w:kern w:val="0"/>
                <w:sz w:val="24"/>
                <w:szCs w:val="24"/>
                <w:lang w:val="en-US" w:eastAsia="zh-CN"/>
              </w:rPr>
              <w:t>总</w:t>
            </w:r>
            <w:r>
              <w:rPr>
                <w:rFonts w:hint="eastAsia" w:ascii="宋体" w:hAnsi="宋体" w:eastAsia="宋体" w:cs="宋体"/>
                <w:b/>
                <w:bCs/>
                <w:kern w:val="0"/>
                <w:sz w:val="24"/>
                <w:szCs w:val="24"/>
              </w:rPr>
              <w:t>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7.08-7.12</w:t>
            </w:r>
          </w:p>
        </w:tc>
        <w:tc>
          <w:tcPr>
            <w:tcW w:w="7793" w:type="dxa"/>
            <w:gridSpan w:val="7"/>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6C5D2F"/>
    <w:multiLevelType w:val="singleLevel"/>
    <w:tmpl w:val="4A6C5D2F"/>
    <w:lvl w:ilvl="0" w:tentative="0">
      <w:start w:val="1"/>
      <w:numFmt w:val="chineseCounting"/>
      <w:suff w:val="nothing"/>
      <w:lvlText w:val="%1、"/>
      <w:lvlJc w:val="left"/>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0MjYwNzJjMzhlMDk4NWYyODE2Zjk4ODY4YTQ0YTQifQ=="/>
  </w:docVars>
  <w:rsids>
    <w:rsidRoot w:val="00C25877"/>
    <w:rsid w:val="00012916"/>
    <w:rsid w:val="00086015"/>
    <w:rsid w:val="00234EC1"/>
    <w:rsid w:val="00263139"/>
    <w:rsid w:val="002C481D"/>
    <w:rsid w:val="002C57B6"/>
    <w:rsid w:val="003F2302"/>
    <w:rsid w:val="004C36D9"/>
    <w:rsid w:val="004C5332"/>
    <w:rsid w:val="0078646B"/>
    <w:rsid w:val="008813C1"/>
    <w:rsid w:val="008F732B"/>
    <w:rsid w:val="00910A6A"/>
    <w:rsid w:val="009E40AD"/>
    <w:rsid w:val="009E4FDA"/>
    <w:rsid w:val="00AF610D"/>
    <w:rsid w:val="00B77E77"/>
    <w:rsid w:val="00C25877"/>
    <w:rsid w:val="00E20D6F"/>
    <w:rsid w:val="00E6636F"/>
    <w:rsid w:val="00E90810"/>
    <w:rsid w:val="00EA769F"/>
    <w:rsid w:val="00EB74F7"/>
    <w:rsid w:val="00F11CE4"/>
    <w:rsid w:val="00F34E6E"/>
    <w:rsid w:val="0AB6302C"/>
    <w:rsid w:val="0D1D3A97"/>
    <w:rsid w:val="0DA16476"/>
    <w:rsid w:val="105772C0"/>
    <w:rsid w:val="175207E1"/>
    <w:rsid w:val="295B1778"/>
    <w:rsid w:val="30C75443"/>
    <w:rsid w:val="33DC1707"/>
    <w:rsid w:val="48E54478"/>
    <w:rsid w:val="542D593B"/>
    <w:rsid w:val="56DE534B"/>
    <w:rsid w:val="5AD05272"/>
    <w:rsid w:val="5DFE54F3"/>
    <w:rsid w:val="601F1801"/>
    <w:rsid w:val="624F1172"/>
    <w:rsid w:val="681F15E7"/>
    <w:rsid w:val="6FE4739E"/>
    <w:rsid w:val="75644ADD"/>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List Paragraph"/>
    <w:basedOn w:val="1"/>
    <w:unhideWhenUsed/>
    <w:uiPriority w:val="99"/>
    <w:pPr>
      <w:ind w:firstLine="420" w:firstLineChars="200"/>
    </w:pPr>
  </w:style>
  <w:style w:type="character" w:customStyle="1" w:styleId="8">
    <w:name w:val="页眉 字符"/>
    <w:basedOn w:val="6"/>
    <w:link w:val="3"/>
    <w:qFormat/>
    <w:uiPriority w:val="99"/>
    <w:rPr>
      <w:kern w:val="2"/>
      <w:sz w:val="18"/>
      <w:szCs w:val="18"/>
    </w:rPr>
  </w:style>
  <w:style w:type="character" w:customStyle="1" w:styleId="9">
    <w:name w:val="页脚 字符"/>
    <w:basedOn w:val="6"/>
    <w:link w:val="2"/>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605</Words>
  <Characters>3450</Characters>
  <Lines>28</Lines>
  <Paragraphs>8</Paragraphs>
  <TotalTime>8</TotalTime>
  <ScaleCrop>false</ScaleCrop>
  <LinksUpToDate>false</LinksUpToDate>
  <CharactersWithSpaces>4047</CharactersWithSpaces>
  <Application>WPS Office_11.1.0.10526_F1E327BC-269C-435d-A152-05C5408002CA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张</cp:lastModifiedBy>
  <dcterms:modified xsi:type="dcterms:W3CDTF">2024-02-27T02:57:38Z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2052-11.1.0.10526</vt:lpwstr>
  </property>
  <property fmtid="{D5CDD505-2E9C-101B-9397-08002B2CF9AE}" pid="3" name="ICV">
    <vt:lpwstr>9B0BFC789E044F0DA2AA0971CBE239B4</vt:lpwstr>
  </property>
</Properties>
</file>